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A206D0" wp14:editId="63EC580A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AF" w:rsidRDefault="00F909AF" w:rsidP="00F909AF"/>
                          <w:p w:rsidR="00F909AF" w:rsidRDefault="00F909AF" w:rsidP="00F909AF"/>
                          <w:p w:rsidR="00F909AF" w:rsidRDefault="00F909AF" w:rsidP="00F909AF"/>
                          <w:p w:rsidR="00F909AF" w:rsidRPr="00A526E5" w:rsidRDefault="00F909AF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06D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F909AF" w:rsidRDefault="00F909AF" w:rsidP="00F909AF"/>
                    <w:p w:rsidR="00F909AF" w:rsidRDefault="00F909AF" w:rsidP="00F909AF"/>
                    <w:p w:rsidR="00F909AF" w:rsidRDefault="00F909AF" w:rsidP="00F909AF"/>
                    <w:p w:rsidR="00F909AF" w:rsidRPr="00A526E5" w:rsidRDefault="00F909AF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909AF" w:rsidRPr="00E12347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F909AF" w:rsidRPr="00E12347" w:rsidRDefault="00F909AF" w:rsidP="00F909AF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F909AF" w:rsidRPr="00E12347" w:rsidRDefault="00F909AF" w:rsidP="00F909AF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F909AF" w:rsidRPr="00E12347" w:rsidRDefault="00F909AF" w:rsidP="00F909AF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F909AF" w:rsidRPr="00E12347" w:rsidRDefault="00F909AF" w:rsidP="00F909AF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F909AF" w:rsidRPr="00E12347" w:rsidRDefault="00F909AF" w:rsidP="00F909AF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serwera i oprogramowania 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:rsidTr="00532B06">
        <w:tc>
          <w:tcPr>
            <w:tcW w:w="9060" w:type="dxa"/>
            <w:gridSpan w:val="2"/>
            <w:shd w:val="clear" w:color="auto" w:fill="auto"/>
          </w:tcPr>
          <w:p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:rsidTr="00532B06">
        <w:tc>
          <w:tcPr>
            <w:tcW w:w="9060" w:type="dxa"/>
            <w:gridSpan w:val="2"/>
            <w:shd w:val="clear" w:color="auto" w:fill="auto"/>
          </w:tcPr>
          <w:p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:rsidTr="00532B06">
        <w:tc>
          <w:tcPr>
            <w:tcW w:w="9060" w:type="dxa"/>
            <w:gridSpan w:val="2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:rsidTr="00532B06">
        <w:trPr>
          <w:trHeight w:val="412"/>
        </w:trPr>
        <w:tc>
          <w:tcPr>
            <w:tcW w:w="4024" w:type="dxa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909AF" w:rsidRPr="00E12347" w:rsidTr="00532B06">
        <w:trPr>
          <w:trHeight w:val="648"/>
        </w:trPr>
        <w:tc>
          <w:tcPr>
            <w:tcW w:w="4024" w:type="dxa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F909AF" w:rsidRPr="00E1234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F909AF" w:rsidRPr="00E12347" w:rsidRDefault="00F909AF" w:rsidP="00532B0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</w:tbl>
    <w:p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:rsidTr="00532B06">
        <w:trPr>
          <w:trHeight w:val="779"/>
        </w:trPr>
        <w:tc>
          <w:tcPr>
            <w:tcW w:w="8776" w:type="dxa"/>
          </w:tcPr>
          <w:p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ZADANIE 1:</w:t>
            </w:r>
          </w:p>
          <w:p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.......................................ZŁ</w:t>
            </w:r>
          </w:p>
        </w:tc>
      </w:tr>
      <w:tr w:rsidR="00F909AF" w:rsidRPr="006B3D54" w:rsidTr="00532B06">
        <w:trPr>
          <w:trHeight w:val="700"/>
        </w:trPr>
        <w:tc>
          <w:tcPr>
            <w:tcW w:w="8776" w:type="dxa"/>
          </w:tcPr>
          <w:p w:rsidR="00F909AF" w:rsidRDefault="00F909AF" w:rsidP="00532B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w miesiącach </w:t>
            </w:r>
            <w:r w:rsidRPr="006B3D54">
              <w:rPr>
                <w:rFonts w:ascii="Arial" w:hAnsi="Arial" w:cs="Arial"/>
                <w:i/>
                <w:sz w:val="20"/>
                <w:szCs w:val="20"/>
              </w:rPr>
              <w:t>(zaznaczyć właściwe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F909AF" w:rsidRPr="006B3D54" w:rsidRDefault="00F909AF" w:rsidP="00532B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3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– 0 punktów</w:t>
            </w:r>
          </w:p>
          <w:p w:rsidR="00F909AF" w:rsidRDefault="00F909AF" w:rsidP="00532B06">
            <w:pPr>
              <w:spacing w:line="36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B3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3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6B3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–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Pr="006B3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ów</w:t>
            </w:r>
          </w:p>
          <w:p w:rsidR="00F909AF" w:rsidRDefault="00F909AF" w:rsidP="00532B06">
            <w:pPr>
              <w:spacing w:line="36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B3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036">
              <w:rPr>
                <w:rFonts w:ascii="Arial" w:hAnsi="Arial" w:cs="Arial"/>
                <w:sz w:val="20"/>
                <w:szCs w:val="20"/>
              </w:rPr>
            </w:r>
            <w:r w:rsidR="00FE60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3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6B3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–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10</w:t>
            </w:r>
            <w:r w:rsidRPr="006B3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ów </w:t>
            </w:r>
          </w:p>
          <w:p w:rsidR="00F909AF" w:rsidRPr="00DF5813" w:rsidRDefault="00F909AF" w:rsidP="00532B06">
            <w:pPr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F5813">
              <w:rPr>
                <w:rFonts w:ascii="Arial" w:hAnsi="Arial" w:cs="Arial"/>
                <w:i/>
                <w:sz w:val="16"/>
                <w:szCs w:val="16"/>
              </w:rPr>
              <w:t xml:space="preserve">Uwaga! </w:t>
            </w:r>
          </w:p>
          <w:p w:rsidR="00F909AF" w:rsidRPr="006B3D54" w:rsidRDefault="00F909AF" w:rsidP="00532B0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Termin okres gwarancji  </w:t>
            </w:r>
            <w:r w:rsidRPr="007935C3">
              <w:rPr>
                <w:rFonts w:ascii="Arial" w:hAnsi="Arial" w:cs="Arial"/>
                <w:i/>
                <w:sz w:val="16"/>
                <w:szCs w:val="16"/>
              </w:rPr>
              <w:t xml:space="preserve">jest jednym z </w:t>
            </w:r>
            <w:r w:rsidRPr="007935C3">
              <w:rPr>
                <w:rFonts w:ascii="Arial" w:hAnsi="Arial" w:cs="Arial"/>
                <w:i/>
                <w:iCs/>
                <w:sz w:val="16"/>
                <w:szCs w:val="16"/>
              </w:rPr>
              <w:t>kryteriów oceny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ofert zgodnie z rozdziałem XV</w:t>
            </w:r>
            <w:r w:rsidRPr="007935C3">
              <w:rPr>
                <w:rFonts w:ascii="Arial" w:hAnsi="Arial" w:cs="Arial"/>
                <w:i/>
                <w:sz w:val="16"/>
                <w:szCs w:val="16"/>
              </w:rPr>
              <w:t xml:space="preserve"> SIWZ i podlega ocenie punktowej.</w:t>
            </w:r>
          </w:p>
        </w:tc>
      </w:tr>
      <w:tr w:rsidR="00F909AF" w:rsidRPr="006B3D54" w:rsidTr="001F217A">
        <w:tc>
          <w:tcPr>
            <w:tcW w:w="8778" w:type="dxa"/>
          </w:tcPr>
          <w:p w:rsidR="001F217A" w:rsidRDefault="001F217A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909AF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ZADANIE 2: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.......................................ZŁ</w:t>
            </w:r>
          </w:p>
        </w:tc>
      </w:tr>
    </w:tbl>
    <w:p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6B3D54">
        <w:rPr>
          <w:rFonts w:ascii="Arial" w:hAnsi="Arial" w:cs="Arial"/>
          <w:b/>
          <w:i/>
          <w:sz w:val="20"/>
          <w:szCs w:val="20"/>
          <w:highlight w:val="yellow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909AF" w:rsidRPr="00BC6B3B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F909AF" w:rsidRPr="00E12347" w:rsidRDefault="00F909AF" w:rsidP="00F909AF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F909AF" w:rsidRDefault="00F909AF" w:rsidP="00F909AF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F909AF" w:rsidRDefault="00F909AF" w:rsidP="00F909AF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909AF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09AF" w:rsidRPr="00581A69" w:rsidRDefault="00F909AF" w:rsidP="00532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909AF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AF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AF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AF" w:rsidRPr="0097051C" w:rsidRDefault="00F909AF" w:rsidP="00F909AF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lastRenderedPageBreak/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:rsidTr="00532B0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:rsidTr="00532B0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:rsidTr="00532B0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:rsidTr="00532B0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F217A" w:rsidRDefault="001F217A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Pr="00DC593C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909AF" w:rsidRDefault="00F909AF" w:rsidP="00F909A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09AF" w:rsidRPr="0075123D" w:rsidRDefault="00F909AF" w:rsidP="00F909A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F909AF" w:rsidRPr="0075123D" w:rsidRDefault="00F909AF" w:rsidP="00F909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F909AF" w:rsidRDefault="00F909AF" w:rsidP="00F909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F909AF" w:rsidRDefault="00F909AF" w:rsidP="00F909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F909AF" w:rsidRDefault="00F909AF" w:rsidP="00F909A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F909AF" w:rsidRPr="004E7BD3" w:rsidRDefault="00F909AF" w:rsidP="00F909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serwera i oprogramowania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F909AF" w:rsidRPr="004E7BD3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909AF" w:rsidRPr="00CC7668" w:rsidRDefault="00F909AF" w:rsidP="00F909AF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909AF" w:rsidRPr="005B232B" w:rsidRDefault="00F909AF" w:rsidP="00F909A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F909AF" w:rsidRDefault="00F909AF" w:rsidP="00F909AF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909AF" w:rsidRDefault="00F909AF" w:rsidP="00F909AF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909AF" w:rsidRDefault="00F909AF" w:rsidP="00F909AF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F909AF" w:rsidRPr="005B232B" w:rsidRDefault="00F909AF" w:rsidP="00F909AF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F909AF" w:rsidRPr="00B72B37" w:rsidRDefault="00F909AF" w:rsidP="00F909AF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F909AF" w:rsidRPr="00CC7668" w:rsidRDefault="00F909AF" w:rsidP="00F909AF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09AF" w:rsidRPr="004E7BD3" w:rsidRDefault="00F909AF" w:rsidP="00F909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09AF" w:rsidRDefault="00F909AF" w:rsidP="00F909AF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909AF" w:rsidRPr="0058236F" w:rsidRDefault="00F909AF" w:rsidP="00F909AF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909AF" w:rsidRPr="0058236F" w:rsidRDefault="00F909AF" w:rsidP="00F909AF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F909AF" w:rsidRPr="0058236F" w:rsidRDefault="00F909AF" w:rsidP="00F909AF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909AF" w:rsidRPr="00DC593C" w:rsidRDefault="00F909AF" w:rsidP="00F909A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F909AF" w:rsidRPr="00DC593C" w:rsidRDefault="00F909AF" w:rsidP="00F909A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FA68D9" wp14:editId="2D9538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AF" w:rsidRDefault="00F909AF" w:rsidP="00F909AF"/>
                          <w:p w:rsidR="00F909AF" w:rsidRDefault="00F909AF" w:rsidP="00F909AF"/>
                          <w:p w:rsidR="00F909AF" w:rsidRDefault="00F909AF" w:rsidP="00F909AF"/>
                          <w:p w:rsidR="00F909AF" w:rsidRPr="00AE4873" w:rsidRDefault="00F909AF" w:rsidP="00F909A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68D9" id="Pole tekstowe 3" o:spid="_x0000_s1027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zmKg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ij1c5ioCAABZ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F909AF" w:rsidRDefault="00F909AF" w:rsidP="00F909AF"/>
                    <w:p w:rsidR="00F909AF" w:rsidRDefault="00F909AF" w:rsidP="00F909AF"/>
                    <w:p w:rsidR="00F909AF" w:rsidRDefault="00F909AF" w:rsidP="00F909AF"/>
                    <w:p w:rsidR="00F909AF" w:rsidRPr="00AE4873" w:rsidRDefault="00F909AF" w:rsidP="00F909A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09AF" w:rsidRPr="00DC593C" w:rsidRDefault="00F909AF" w:rsidP="00F909A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909AF" w:rsidRPr="00DC593C" w:rsidRDefault="00F909AF" w:rsidP="00F909A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909AF" w:rsidRDefault="00F909AF" w:rsidP="00F909A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909AF" w:rsidRPr="00DC593C" w:rsidRDefault="00F909AF" w:rsidP="00F909AF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F909AF" w:rsidRPr="00DC593C" w:rsidRDefault="00F909AF" w:rsidP="00F909AF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F909AF" w:rsidRDefault="00F909AF" w:rsidP="00F909A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F909AF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stawa serwera i oprogramowania</w:t>
      </w:r>
    </w:p>
    <w:p w:rsidR="00F909AF" w:rsidRPr="00722E40" w:rsidRDefault="00F909AF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F909AF" w:rsidRPr="00DC593C" w:rsidRDefault="00F909AF" w:rsidP="00F909AF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F909AF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F909AF" w:rsidRPr="00D70EA5" w:rsidRDefault="00F909AF" w:rsidP="00F909AF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F909AF" w:rsidRDefault="00F909AF" w:rsidP="00F909AF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F909AF" w:rsidRDefault="00F909AF" w:rsidP="00F909A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F909AF" w:rsidRPr="0021393A" w:rsidRDefault="00F909AF" w:rsidP="00F909A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F909AF" w:rsidRDefault="00F909AF" w:rsidP="00F909A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F909AF" w:rsidRPr="00E35968" w:rsidRDefault="00F909AF" w:rsidP="00F909A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F909AF" w:rsidRPr="00DC593C" w:rsidRDefault="00F909AF" w:rsidP="00F909A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F909AF" w:rsidRPr="00E12347" w:rsidTr="00532B0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:rsidTr="00532B0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:rsidTr="00532B0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30CE1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30CE1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:rsidTr="00532B0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30CE1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530CE1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F6A86" w:rsidRDefault="008F6A86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 w:rsidP="001F217A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1F217A" w:rsidRPr="00D94A03" w:rsidRDefault="001F217A" w:rsidP="001F217A">
      <w:pPr>
        <w:spacing w:after="200" w:line="276" w:lineRule="auto"/>
        <w:ind w:hanging="142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  <w:r w:rsidRPr="00D94A03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Zadanie nr 1</w:t>
      </w:r>
    </w:p>
    <w:p w:rsidR="001F217A" w:rsidRPr="00D94A03" w:rsidRDefault="001F217A" w:rsidP="001F217A">
      <w:pPr>
        <w:spacing w:after="200" w:line="276" w:lineRule="auto"/>
        <w:ind w:hanging="142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94A03">
        <w:rPr>
          <w:rFonts w:ascii="Calibri" w:eastAsia="Calibri" w:hAnsi="Calibri"/>
          <w:sz w:val="22"/>
          <w:szCs w:val="22"/>
          <w:lang w:eastAsia="en-US"/>
        </w:rPr>
        <w:t>Serwer w modułowej obudowie 2U z 2 modułami obliczeniowymi wraz z oprogramowaniem: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658"/>
        <w:gridCol w:w="4103"/>
      </w:tblGrid>
      <w:tr w:rsidR="001F217A" w:rsidTr="0070649F">
        <w:trPr>
          <w:trHeight w:val="320"/>
          <w:jc w:val="center"/>
        </w:trPr>
        <w:tc>
          <w:tcPr>
            <w:tcW w:w="4957" w:type="dxa"/>
            <w:gridSpan w:val="2"/>
            <w:vMerge w:val="restart"/>
            <w:shd w:val="clear" w:color="auto" w:fill="BFBFBF"/>
            <w:vAlign w:val="center"/>
          </w:tcPr>
          <w:p w:rsidR="001F217A" w:rsidRDefault="001F217A" w:rsidP="007064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17A" w:rsidRDefault="001F217A" w:rsidP="0070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17A" w:rsidRPr="00323595" w:rsidRDefault="001F217A" w:rsidP="0070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55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  <w:p w:rsidR="001F217A" w:rsidRDefault="001F217A" w:rsidP="0070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17A" w:rsidRPr="00323595" w:rsidRDefault="001F217A" w:rsidP="0070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95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103" w:type="dxa"/>
            <w:shd w:val="clear" w:color="auto" w:fill="BFBFBF"/>
          </w:tcPr>
          <w:p w:rsidR="001F217A" w:rsidRDefault="001F217A" w:rsidP="00706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17A" w:rsidRDefault="001F217A" w:rsidP="007064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OFEROWANEGO SPRZETU</w:t>
            </w:r>
          </w:p>
        </w:tc>
      </w:tr>
      <w:tr w:rsidR="001F217A" w:rsidTr="001F217A">
        <w:trPr>
          <w:trHeight w:val="2347"/>
          <w:jc w:val="center"/>
        </w:trPr>
        <w:tc>
          <w:tcPr>
            <w:tcW w:w="495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1F217A" w:rsidRDefault="001F217A" w:rsidP="0070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BFBFBF"/>
          </w:tcPr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KAT: ……………………………………</w:t>
            </w:r>
          </w:p>
          <w:p w:rsidR="001F217A" w:rsidRDefault="001F217A" w:rsidP="007064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1F217A" w:rsidRPr="00E76A55" w:rsidTr="0070649F">
        <w:trPr>
          <w:trHeight w:val="124"/>
          <w:jc w:val="center"/>
        </w:trPr>
        <w:tc>
          <w:tcPr>
            <w:tcW w:w="4957" w:type="dxa"/>
            <w:gridSpan w:val="2"/>
            <w:shd w:val="clear" w:color="auto" w:fill="D9D9D9"/>
          </w:tcPr>
          <w:p w:rsidR="001F217A" w:rsidRPr="00E76A55" w:rsidRDefault="001F217A" w:rsidP="00706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3" w:type="dxa"/>
            <w:shd w:val="clear" w:color="auto" w:fill="D9D9D9"/>
          </w:tcPr>
          <w:p w:rsidR="001F217A" w:rsidRPr="00E76A55" w:rsidRDefault="001F217A" w:rsidP="00706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maks. wysokość obudowy to 2U,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umozliwiająca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zamontowanie co najmniej 2 modułów obliczeniowych. Obudowa montowana w szafie typu RACK.</w:t>
            </w:r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Do obudowy wymagane dostarczenie jest prowadnic z możliwością wysunięcia obudowy z szafy RACK.</w:t>
            </w:r>
          </w:p>
        </w:tc>
        <w:tc>
          <w:tcPr>
            <w:tcW w:w="4103" w:type="dxa"/>
            <w:vAlign w:val="center"/>
          </w:tcPr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</w:t>
            </w: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..</w:t>
            </w: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Ilość modułów obliczeniowych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3" w:type="dxa"/>
            <w:vAlign w:val="center"/>
          </w:tcPr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..</w:t>
            </w: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Redundantne (min. 2 zasilacze)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9060" w:type="dxa"/>
            <w:gridSpan w:val="3"/>
            <w:vAlign w:val="center"/>
          </w:tcPr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DOTYCZĄCE MODUŁU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Płyta główna z możliwością zainstalowania do czterech procesorów.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Chipset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Dedykowany przez producenta procesora do pracy w serwerach czteroprocesorowych.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Ilość procesorów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80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Procesory klasy x86-64 dedykowane do pracy z zaoferowanym serwerem umożliwiające osiągnięcie przez oferowany model serwera wyniku min. 1250 punktów w teście SPECint_rate_2006 (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base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) oraz min. 35 punkty w teście SPECint_2006(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base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) w konfiguracji czteroprocesorowej . Wynik dostępny na stronie http://www.spec.org.</w:t>
            </w: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7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Pamięć RAM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Co najmniej 192 GB pamięci RAM typu RDIMM o przepustowości odpowiadającej co najmniej standardowi DDR4/2400MHz. Płyta powinna obsługiwać do co najmniej 512 GB pamięci RAM, na płycie głównej powinno znajdować się minimum 8 slotów przeznaczonych dla pamięci. Możliwe zabezpieczenia pamięci: Memory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Rank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Sparing, Memory Mirror, SBEC,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Lockstep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. Zainstalowana pamięć musi zapewniać optymalne wykorzystanie kanałów kontrolera pamięci w połączeniu z zainstalowanymi procesorami.</w:t>
            </w: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Zintegrowana karta graficzna  umożliwiająca rozdzielczość min. 1280x1024.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Wbudowane porty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min 2 porty USB na przednim panelu obudowy obsługujące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bootowanie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 klucza USB. </w:t>
            </w:r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Zamawiający nie dopuszcza realizacji poprzez zastosowanie przejściówek, adapterów oraz modułów i kabli rozszerzających.</w:t>
            </w: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Interfejsy sieciowe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min. 4 wbudowane złącza 1GbE, umożliwiające wyprowadzenie sygnałów poprzez montowane w głównej obudowie systemu serwerowego moduły agregacyjne 1Gb Ethernet.</w:t>
            </w: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Interfejsy FC (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Fiber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Channel)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min. 2-portowa karta HBA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Fiber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Channel 8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Gb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/s. Karta musi umożliwiać podłączenie modułu obliczeniowego do macierzy dyskowej EMC VNX5300 przez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switch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FC EMC DS-300B. Karta FC musi znajdować się na liście zgodności z systemem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wirtualizacyjnym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Vmware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ESXi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 wersji 6.5. </w:t>
            </w:r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" w:history="1">
              <w:r w:rsidRPr="00D94A03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eastAsia="en-US"/>
                </w:rPr>
                <w:t>https://www.vmware.com/resources/compatibility/search.php</w:t>
              </w:r>
            </w:hyperlink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Zintegrowany z płytą główną moduł TPM.</w:t>
            </w:r>
          </w:p>
        </w:tc>
        <w:tc>
          <w:tcPr>
            <w:tcW w:w="4103" w:type="dxa"/>
            <w:vAlign w:val="center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53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Wewnętrzna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pamięc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masowa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Zainstalowane 2 dyski twarde o pojemności co najmniej 100GB SSD typu Enterprise w konfiguracji z zabezpieczeniem typu „mirror” (RAID 1). Kontroler RAID musi znajdować się na liście zgodności z systemem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wirtualizacyjnym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Vmware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ESXi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 wersji 6.5. </w:t>
            </w:r>
            <w:hyperlink r:id="rId8" w:history="1">
              <w:r w:rsidRPr="00D94A03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eastAsia="en-US"/>
                </w:rPr>
                <w:t>https://www.vmware.com/resources/compatibility/search.php</w:t>
              </w:r>
            </w:hyperlink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65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Karta zarządzająca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Niezależna od zainstalowanego na module obliczeniowym systemu operacyjnego posiadająca dedykowany port RJ-45 Gigabit Ethernet obudowy serwerowej umożliwiająca: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zdalny dostęp do graficznego interfejsu Web karty zarządzającej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zdalne monitorowanie i informowanie o statusie serwera (m.in. prędkości obrotowej wentylatorów, konfiguracji serwera)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szyfrowane połączenie (SSLv3) oraz uwierzytelnianie użytkownika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możliwość podmontowania zdalnych wirtualnych napędów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wirtualną konsolę z dostępem do myszy, klawiatury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WSMAN (Web Service for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Managament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); SNMP; IPMI2.0, VLAN tagging, Telnet, SSH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możliwość uwierzytelnienia użytkownika przy użyciu Active Directory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możliwość obsługi przez co najmniej dwóch administratorów jednocześnie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wsparcie dla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dynamic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DNS</w:t>
            </w:r>
          </w:p>
          <w:p w:rsidR="001F217A" w:rsidRPr="00D94A03" w:rsidRDefault="001F217A" w:rsidP="001F217A">
            <w:pPr>
              <w:numPr>
                <w:ilvl w:val="0"/>
                <w:numId w:val="4"/>
              </w:numPr>
              <w:ind w:left="292" w:hanging="28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wysyłanie do administratora maila z powiadomieniem o awarii lub zmianie konfiguracji sprzętowej</w:t>
            </w:r>
          </w:p>
          <w:p w:rsidR="001F217A" w:rsidRPr="00D94A03" w:rsidRDefault="001F217A" w:rsidP="0070649F">
            <w:pPr>
              <w:ind w:left="7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Zgodność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Oferowany moduł musi znajdować się na liście zgodności z systemem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wirtualizacyjnym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Vmware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ESXi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 wersji 6.5.</w:t>
            </w:r>
          </w:p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9" w:history="1">
              <w:r w:rsidRPr="00D94A03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eastAsia="en-US"/>
                </w:rPr>
                <w:t>https://www.vmware.com/resources/compatibility/search.php</w:t>
              </w:r>
            </w:hyperlink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060" w:type="dxa"/>
            <w:gridSpan w:val="3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CERTYFIKATY, GWARANCJA, DOKUMENTACJA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Serwer musi być wyprodukowany zgodnie z normą  ISO-9001 oraz ISO-14001 oraz posiadać certyfikat CE lub równoważne dokumenty wystawione przez podmioty mające siedzibę w innym państwie członkowskim Europejskiego Obszaru Gospodarczego </w:t>
            </w:r>
          </w:p>
        </w:tc>
        <w:tc>
          <w:tcPr>
            <w:tcW w:w="4103" w:type="dxa"/>
            <w:vAlign w:val="center"/>
          </w:tcPr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Minimum t</w:t>
            </w: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rzy lata gwarancji realizowanej w miejscu instalacji sprzętu, z czasem reakcji do następnego dnia roboczego od przyjęcia</w:t>
            </w:r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zgłoszenia, możliwość zgłaszania awarii poprzez ogólnopolską linię telefoniczną producenta.</w:t>
            </w:r>
          </w:p>
        </w:tc>
        <w:tc>
          <w:tcPr>
            <w:tcW w:w="4103" w:type="dxa"/>
          </w:tcPr>
          <w:p w:rsidR="001F217A" w:rsidRDefault="001F217A" w:rsidP="0070649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…………………………………………..</w:t>
            </w:r>
          </w:p>
        </w:tc>
      </w:tr>
      <w:tr w:rsidR="001F217A" w:rsidRPr="00D94A03" w:rsidTr="007064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29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Dokumentacja</w:t>
            </w:r>
          </w:p>
        </w:tc>
        <w:tc>
          <w:tcPr>
            <w:tcW w:w="3658" w:type="dxa"/>
            <w:vAlign w:val="center"/>
          </w:tcPr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Zamawiający wymaga dokumentacji w języku polskim lub angielskim.</w:t>
            </w:r>
          </w:p>
          <w:p w:rsidR="001F217A" w:rsidRPr="00D94A03" w:rsidRDefault="001F217A" w:rsidP="0070649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Zamawiający po podpisaniu umowy wymaga wskazania strony WWW na której można sprawdzić status gwarancji na podstawie unikalnego identyfikatora oferowanego egzemplarza sprzętu oraz możliwości zdalnego sprawdzenia konfiguracji sprzętowej serwera.  </w:t>
            </w:r>
          </w:p>
        </w:tc>
        <w:tc>
          <w:tcPr>
            <w:tcW w:w="4103" w:type="dxa"/>
          </w:tcPr>
          <w:p w:rsidR="001F217A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1F217A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Tak </w:t>
            </w:r>
          </w:p>
        </w:tc>
      </w:tr>
    </w:tbl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NALEŻY WYPEŁNIĆ MIEJSCA WYKROPKOWANE</w:t>
      </w: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217A" w:rsidRPr="00E12347" w:rsidTr="0070649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F217A" w:rsidRPr="00E12347" w:rsidTr="0070649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217A" w:rsidRPr="00E12347" w:rsidTr="0070649F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17A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17A" w:rsidRPr="00E12347" w:rsidTr="0070649F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Default="001F217A"/>
    <w:p w:rsidR="001F217A" w:rsidRPr="00D94A03" w:rsidRDefault="001F217A" w:rsidP="001F21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94A03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Zadanie 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70"/>
        <w:gridCol w:w="3861"/>
      </w:tblGrid>
      <w:tr w:rsidR="001F217A" w:rsidRPr="00D94A03" w:rsidTr="0070649F">
        <w:trPr>
          <w:trHeight w:val="539"/>
        </w:trPr>
        <w:tc>
          <w:tcPr>
            <w:tcW w:w="5199" w:type="dxa"/>
            <w:gridSpan w:val="2"/>
            <w:shd w:val="clear" w:color="auto" w:fill="D0CECE" w:themeFill="background2" w:themeFillShade="E6"/>
            <w:vAlign w:val="center"/>
          </w:tcPr>
          <w:p w:rsidR="001F217A" w:rsidRPr="00460844" w:rsidRDefault="001F217A" w:rsidP="0070649F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0844">
              <w:rPr>
                <w:rFonts w:ascii="Calibri" w:eastAsia="Calibri" w:hAnsi="Calibri"/>
                <w:b/>
                <w:lang w:eastAsia="en-US"/>
              </w:rPr>
              <w:t>OPROGRAMOWANIE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:rsidR="001F217A" w:rsidRPr="00D94A03" w:rsidRDefault="001F217A" w:rsidP="007064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1F217A" w:rsidRPr="00D94A03" w:rsidTr="0070649F">
        <w:trPr>
          <w:trHeight w:val="3073"/>
        </w:trPr>
        <w:tc>
          <w:tcPr>
            <w:tcW w:w="1129" w:type="dxa"/>
            <w:vAlign w:val="center"/>
          </w:tcPr>
          <w:p w:rsidR="001F217A" w:rsidRPr="00D94A03" w:rsidRDefault="001F217A" w:rsidP="0070649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Hypervisor</w:t>
            </w:r>
          </w:p>
        </w:tc>
        <w:tc>
          <w:tcPr>
            <w:tcW w:w="4070" w:type="dxa"/>
            <w:vAlign w:val="center"/>
          </w:tcPr>
          <w:p w:rsidR="001F217A" w:rsidRPr="00D94A03" w:rsidRDefault="001F217A" w:rsidP="001F217A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92E63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4 licencje</w:t>
            </w: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vSphere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6 Standard for 1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processor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+ wsparcie techniczne na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 rok </w:t>
            </w: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t>w wersji Basic</w:t>
            </w:r>
            <w:r w:rsidRPr="00D94A03">
              <w:rPr>
                <w:rFonts w:ascii="Calibri" w:eastAsia="Calibri" w:hAnsi="Calibri"/>
                <w:sz w:val="20"/>
                <w:szCs w:val="20"/>
                <w:lang w:eastAsia="en-US"/>
              </w:rPr>
              <w:cr/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Zamawiąjący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obecnie posiada środowisko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wirtulizacyjne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oparte o technologię firmy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VMware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, a w szczególności  produkty: </w:t>
            </w:r>
          </w:p>
          <w:p w:rsidR="001F217A" w:rsidRPr="00D94A03" w:rsidRDefault="001F217A" w:rsidP="001F217A">
            <w:pPr>
              <w:numPr>
                <w:ilvl w:val="0"/>
                <w:numId w:val="5"/>
              </w:numPr>
              <w:spacing w:after="200"/>
              <w:ind w:left="316" w:hanging="284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VMware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vCenter</w:t>
            </w:r>
            <w:proofErr w:type="spellEnd"/>
          </w:p>
          <w:p w:rsidR="001F217A" w:rsidRPr="00D94A03" w:rsidRDefault="001F217A" w:rsidP="001F217A">
            <w:pPr>
              <w:numPr>
                <w:ilvl w:val="0"/>
                <w:numId w:val="5"/>
              </w:numPr>
              <w:spacing w:after="200"/>
              <w:ind w:left="316" w:hanging="284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VMware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ESXi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6.5 w wersjach Standard i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Entererprise</w:t>
            </w:r>
            <w:proofErr w:type="spellEnd"/>
          </w:p>
          <w:p w:rsidR="001F217A" w:rsidRPr="00D94A03" w:rsidRDefault="001F217A" w:rsidP="001F217A">
            <w:pPr>
              <w:numPr>
                <w:ilvl w:val="0"/>
                <w:numId w:val="5"/>
              </w:numPr>
              <w:spacing w:after="200"/>
              <w:ind w:left="316" w:hanging="284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VMware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Data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Protection</w:t>
            </w:r>
            <w:proofErr w:type="spellEnd"/>
          </w:p>
          <w:p w:rsidR="001F217A" w:rsidRPr="00D94A03" w:rsidRDefault="001F217A" w:rsidP="001F217A">
            <w:pPr>
              <w:spacing w:after="20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Zakupione dodatkowe licencje będą stanowiły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rozszczerzenie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obecnego środowiska </w:t>
            </w:r>
            <w:proofErr w:type="spellStart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wirtulizacyjnego</w:t>
            </w:r>
            <w:proofErr w:type="spellEnd"/>
            <w:r w:rsidRPr="00D94A03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861" w:type="dxa"/>
          </w:tcPr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produktu 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1F217A" w:rsidRDefault="001F217A" w:rsidP="0070649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217A" w:rsidRPr="00392E63" w:rsidRDefault="001F217A" w:rsidP="0070649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1F217A" w:rsidRPr="00D94A03" w:rsidRDefault="001F217A" w:rsidP="001F217A">
      <w:pPr>
        <w:spacing w:line="360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1F217A" w:rsidRDefault="001F217A" w:rsidP="001F217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NALEŻY WYPEŁNIĆ MIEJSCA WYKROPKOWANE</w:t>
      </w:r>
    </w:p>
    <w:p w:rsidR="001F217A" w:rsidRDefault="001F217A" w:rsidP="001F217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F217A" w:rsidRPr="00D94A03" w:rsidRDefault="001F217A" w:rsidP="001F217A">
      <w:pPr>
        <w:spacing w:line="360" w:lineRule="auto"/>
        <w:jc w:val="right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217A" w:rsidRPr="00E12347" w:rsidTr="0070649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F217A" w:rsidRPr="00E12347" w:rsidTr="0070649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217A" w:rsidRPr="00E12347" w:rsidTr="0070649F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17A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17A" w:rsidRPr="00E12347" w:rsidTr="0070649F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BC4A30" w:rsidRDefault="001F217A" w:rsidP="007064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A" w:rsidRPr="00E12347" w:rsidRDefault="001F217A" w:rsidP="00706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F217A" w:rsidRPr="00D94A03" w:rsidRDefault="001F217A" w:rsidP="001F217A">
      <w:pPr>
        <w:spacing w:line="360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1F217A" w:rsidRPr="00D94A03" w:rsidRDefault="001F217A" w:rsidP="001F217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217A" w:rsidRDefault="001F217A"/>
    <w:sectPr w:rsidR="001F21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36" w:rsidRDefault="00FE6036" w:rsidP="00F909AF">
      <w:r>
        <w:separator/>
      </w:r>
    </w:p>
  </w:endnote>
  <w:endnote w:type="continuationSeparator" w:id="0">
    <w:p w:rsidR="00FE6036" w:rsidRDefault="00FE6036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36" w:rsidRDefault="00FE6036" w:rsidP="00F909AF">
      <w:r>
        <w:separator/>
      </w:r>
    </w:p>
  </w:footnote>
  <w:footnote w:type="continuationSeparator" w:id="0">
    <w:p w:rsidR="00FE6036" w:rsidRDefault="00FE6036" w:rsidP="00F9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AF" w:rsidRDefault="00F909AF" w:rsidP="00F909AF">
    <w:pPr>
      <w:pStyle w:val="Nagwek"/>
    </w:pPr>
    <w:r>
      <w:rPr>
        <w:rFonts w:ascii="Arial" w:hAnsi="Arial" w:cs="Arial"/>
        <w:b/>
        <w:sz w:val="18"/>
        <w:szCs w:val="18"/>
      </w:rPr>
      <w:t xml:space="preserve">PN/26/FZP/FI/2017 </w:t>
    </w:r>
    <w:r w:rsidRPr="00D90A0F">
      <w:rPr>
        <w:rFonts w:ascii="Arial" w:hAnsi="Arial" w:cs="Arial"/>
        <w:b/>
        <w:sz w:val="18"/>
        <w:szCs w:val="18"/>
      </w:rPr>
      <w:t xml:space="preserve">Dostawa serwera oraz oprogramowania </w:t>
    </w:r>
  </w:p>
  <w:p w:rsidR="00F909AF" w:rsidRDefault="00F90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F"/>
    <w:rsid w:val="00136921"/>
    <w:rsid w:val="001F217A"/>
    <w:rsid w:val="008F6A86"/>
    <w:rsid w:val="00E27970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5B4F"/>
  <w15:chartTrackingRefBased/>
  <w15:docId w15:val="{E2FC3865-F7D3-47D6-A789-BD1AA1BB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resources/compatibility/search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ware.com/resources/compatibility/search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mware.com/resources/compatibility/search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3</cp:revision>
  <dcterms:created xsi:type="dcterms:W3CDTF">2017-09-21T09:26:00Z</dcterms:created>
  <dcterms:modified xsi:type="dcterms:W3CDTF">2017-09-22T13:46:00Z</dcterms:modified>
</cp:coreProperties>
</file>